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outlineLvl w:val="3"/>
      </w:pPr>
      <w:bookmarkStart w:id="0" w:name="_Toc126831761"/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1</w:t>
      </w:r>
      <w:r>
        <w:rPr>
          <w:rFonts w:ascii="方正仿宋_GBK" w:hAnsi="方正仿宋_GBK" w:eastAsia="方正仿宋_GBK" w:cs="方正仿宋_GBK"/>
          <w:color w:val="000000"/>
          <w:sz w:val="28"/>
        </w:rPr>
        <w:t>.2023年现代职业教育质量提升计划资金（职业院校教师素质提高计划）-中央绩效目标表</w:t>
      </w:r>
      <w:bookmarkEnd w:id="0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330701天津生物工程职业技术学院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8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0"/>
            </w:pPr>
            <w:r>
              <w:t>2023年现代职业教育质量提升计划资金（职业院校教师素质提高计划）-中央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14.32</w:t>
            </w:r>
          </w:p>
        </w:tc>
        <w:tc>
          <w:tcPr>
            <w:tcW w:w="1587" w:type="dxa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0"/>
            </w:pPr>
            <w:r>
              <w:t>14.32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0"/>
            </w:pPr>
            <w:r>
              <w:t>用于教师素质提升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0"/>
            </w:pPr>
            <w:r>
              <w:t>1.完成国培计划，提升教师素质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1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2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教师培训人数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教师培训人数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≥7人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教师教育教学水平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教师教育教学水平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教学水平持续提升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完成期限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完成期限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预算金额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预算金额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14.32万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2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保障单位事业发展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保障单位事业发展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持续发展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2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培训对象满意度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培训对象满意度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≥90%</w:t>
            </w:r>
          </w:p>
        </w:tc>
      </w:tr>
    </w:tbl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" w:name="_Toc126831762"/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2</w:t>
      </w:r>
      <w:r>
        <w:rPr>
          <w:rFonts w:ascii="方正仿宋_GBK" w:hAnsi="方正仿宋_GBK" w:eastAsia="方正仿宋_GBK" w:cs="方正仿宋_GBK"/>
          <w:color w:val="000000"/>
          <w:sz w:val="28"/>
        </w:rPr>
        <w:t>.学生资助政策体系绩效目标表</w:t>
      </w:r>
      <w:bookmarkEnd w:id="1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330701天津生物工程职业技术学院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8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0"/>
            </w:pPr>
            <w:r>
              <w:t>学生资助政策体系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342.69</w:t>
            </w:r>
          </w:p>
        </w:tc>
        <w:tc>
          <w:tcPr>
            <w:tcW w:w="1587" w:type="dxa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0"/>
            </w:pPr>
            <w:r>
              <w:t>342.69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0"/>
            </w:pPr>
            <w:r>
              <w:t>用于学生资助及奖励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0"/>
            </w:pPr>
            <w:r>
              <w:t>1.完成学生资助工作的各项指标和任务。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1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2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本专科生国家助学金资助面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本专科生国家助学金资助面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≥15%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奖励和资助学生覆盖面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奖励和资助学生覆盖面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≥20%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资金发放及时率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资金发放及时率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指标1：按照标准足额发放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指标1：按照标准足额发放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按照标准足额发放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2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家庭经济困难学生应助尽助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家庭经济困难学生应助尽助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2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家长和学生满意度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家长和学生满意度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2" w:name="_Toc126831763"/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3</w:t>
      </w:r>
      <w:r>
        <w:rPr>
          <w:rFonts w:ascii="方正仿宋_GBK" w:hAnsi="方正仿宋_GBK" w:eastAsia="方正仿宋_GBK" w:cs="方正仿宋_GBK"/>
          <w:color w:val="000000"/>
          <w:sz w:val="28"/>
        </w:rPr>
        <w:t>.学生资助政策体系（药科）绩效目标表</w:t>
      </w:r>
      <w:bookmarkEnd w:id="2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330701天津生物工程职业技术学院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8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0"/>
            </w:pPr>
            <w:r>
              <w:t>学生资助政策体系（药科）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1.85</w:t>
            </w:r>
          </w:p>
        </w:tc>
        <w:tc>
          <w:tcPr>
            <w:tcW w:w="1587" w:type="dxa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0"/>
            </w:pPr>
            <w:r>
              <w:t>1.85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0"/>
            </w:pPr>
            <w:r>
              <w:t>用于资助享受天津市人民政府助学金和国家奖学金的学生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0"/>
            </w:pPr>
            <w:r>
              <w:t>1.用于按照财政部教育部要求，资助家庭经济困难学生。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1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2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中等职业教育国家奖学金奖励人数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中等职业教育国家奖学金奖励人数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学生资助政策知晓率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学生资助政策知晓率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奖助学金按规定及时发放率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奖助学金按规定及时发放率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预算资金内完成所有项目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预算资金内完成所有项目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年度指标值不挪作他用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2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家庭经济困难学生应助尽助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家庭经济困难学生应助尽助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2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学生、家长满意度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学生、家长满意度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3" w:name="_Toc126831764"/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4</w:t>
      </w:r>
      <w:r>
        <w:rPr>
          <w:rFonts w:ascii="方正仿宋_GBK" w:hAnsi="方正仿宋_GBK" w:eastAsia="方正仿宋_GBK" w:cs="方正仿宋_GBK"/>
          <w:color w:val="000000"/>
          <w:sz w:val="28"/>
        </w:rPr>
        <w:t>.学生资助政策体系（中职国家助学金）（药科）绩效目标表</w:t>
      </w:r>
      <w:bookmarkEnd w:id="3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330701天津生物工程职业技术学院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8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0"/>
            </w:pPr>
            <w:r>
              <w:t>学生资助政策体系（中职国家助学金）（药科）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0.90</w:t>
            </w:r>
          </w:p>
        </w:tc>
        <w:tc>
          <w:tcPr>
            <w:tcW w:w="1587" w:type="dxa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0"/>
            </w:pPr>
            <w:r>
              <w:t>0.90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0"/>
            </w:pPr>
            <w:r>
              <w:t>用于资助享受国家助学金的学生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0"/>
            </w:pPr>
            <w:r>
              <w:t>1.用于按照财政部教育部要求，资助家庭经济困难学生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1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2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中等职业学校国家助学金受助人数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中等职业学校国家助学金受助人数占应受助学生数的比例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学生资助政策知晓率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学生资助政策知晓率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奖助学金按规定及时发放率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奖助学金按规定及时发放率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预算资金内完成全部项目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预算资金内完成全部项目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0.9万元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2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家庭经济困难学生应助尽助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家庭经济困难学生应助尽助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2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学生、家长满意度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学生、家长满意度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4" w:name="_Toc126831765"/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5</w:t>
      </w:r>
      <w:bookmarkStart w:id="5" w:name="_GoBack"/>
      <w:bookmarkEnd w:id="5"/>
      <w:r>
        <w:rPr>
          <w:rFonts w:ascii="方正仿宋_GBK" w:hAnsi="方正仿宋_GBK" w:eastAsia="方正仿宋_GBK" w:cs="方正仿宋_GBK"/>
          <w:color w:val="000000"/>
          <w:sz w:val="28"/>
        </w:rPr>
        <w:t>.学生资助政策体系（中职免学费）（药科）绩效目标表</w:t>
      </w:r>
      <w:bookmarkEnd w:id="4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330701天津生物工程职业技术学院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8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0"/>
            </w:pPr>
            <w:r>
              <w:t>学生资助政策体系（中职免学费）（药科）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18.90</w:t>
            </w:r>
          </w:p>
        </w:tc>
        <w:tc>
          <w:tcPr>
            <w:tcW w:w="1587" w:type="dxa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0"/>
            </w:pPr>
            <w:r>
              <w:t>18.90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0"/>
            </w:pPr>
            <w:r>
              <w:t>用于资助享受免学费的学生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0"/>
            </w:pPr>
            <w:r>
              <w:t>1.用于按照财政部教育部要求，资助家庭经济困难学生。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1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2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中等职业学校免学费受助人数占应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中等职业学校免学费受助人数占应受助学生数的比例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学生资助政策知晓率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学生资助政策知晓率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奖助学金按规定及时发放率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奖助学金按规定及时发放率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预算资金内完成所有项目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预算资金内完成所有项目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18.9万元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2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家庭经济困难学生应助尽助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家庭经济困难学生应助尽助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2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0"/>
            </w:pPr>
            <w:r>
              <w:t>学生、家长满意度</w:t>
            </w:r>
          </w:p>
        </w:tc>
        <w:tc>
          <w:tcPr>
            <w:tcW w:w="3430" w:type="dxa"/>
            <w:vAlign w:val="center"/>
          </w:tcPr>
          <w:p>
            <w:pPr>
              <w:pStyle w:val="10"/>
            </w:pPr>
            <w:r>
              <w:t>学生、家长满意度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</w:pPr>
            <w:r>
              <w:t>≥90%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12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1ZTMxY2QyODViYTY4YmQzM2ZkMDMyNzI1NjllNDQifQ=="/>
  </w:docVars>
  <w:rsids>
    <w:rsidRoot w:val="00F0058F"/>
    <w:rsid w:val="001B6212"/>
    <w:rsid w:val="00246D38"/>
    <w:rsid w:val="009334EA"/>
    <w:rsid w:val="00F0058F"/>
    <w:rsid w:val="2C371050"/>
    <w:rsid w:val="4FDB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kern w:val="0"/>
      <w:sz w:val="24"/>
      <w:szCs w:val="24"/>
      <w:lang w:val="en-US" w:eastAsia="uk-UA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9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0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1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2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1660</Words>
  <Characters>1811</Characters>
  <Lines>15</Lines>
  <Paragraphs>4</Paragraphs>
  <TotalTime>0</TotalTime>
  <ScaleCrop>false</ScaleCrop>
  <LinksUpToDate>false</LinksUpToDate>
  <CharactersWithSpaces>1845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2023-02-16T02:09:00Z</dcterms:created>
  <dc:creator>PC</dc:creator>
  <cp:lastModifiedBy>橙子</cp:lastModifiedBy>
  <dcterms:modified xsi:type="dcterms:W3CDTF">2023-03-06T00:09:40Z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FFABAE83792F435CABE453629D804396</vt:lpwstr>
  </property>
</Properties>
</file>